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1599" w14:textId="77777777" w:rsidR="00EC560B" w:rsidRDefault="00877019">
      <w:r>
        <w:t>Answer key to exercises on tonal development 2</w:t>
      </w:r>
    </w:p>
    <w:p w14:paraId="611271DC" w14:textId="77777777" w:rsidR="00EC560B" w:rsidRDefault="00EC560B"/>
    <w:p w14:paraId="1BA6F8B0" w14:textId="77777777" w:rsidR="00EC560B" w:rsidRDefault="00877019">
      <w:pPr>
        <w:rPr>
          <w:lang w:eastAsia="zh-CN"/>
        </w:rPr>
      </w:pPr>
      <w:r>
        <w:t xml:space="preserve">Look at the following words in Middle Chinese. They are all from the  </w:t>
      </w:r>
      <w:proofErr w:type="spellStart"/>
      <w:r>
        <w:t>píng</w:t>
      </w:r>
      <w:proofErr w:type="spellEnd"/>
      <w:r>
        <w:rPr>
          <w:rFonts w:hint="eastAsia"/>
          <w:lang w:eastAsia="zh-CN"/>
        </w:rPr>
        <w:t>平</w:t>
      </w:r>
      <w:r>
        <w:rPr>
          <w:lang w:eastAsia="zh-CN"/>
        </w:rPr>
        <w:t xml:space="preserve"> tone category</w:t>
      </w:r>
      <w:r>
        <w:rPr>
          <w:rStyle w:val="FootnoteReference"/>
          <w:lang w:eastAsia="zh-CN"/>
        </w:rPr>
        <w:footnoteReference w:id="1"/>
      </w:r>
      <w:r>
        <w:rPr>
          <w:lang w:eastAsia="zh-CN"/>
        </w:rPr>
        <w:t>.</w:t>
      </w:r>
    </w:p>
    <w:p w14:paraId="6F9F43C3" w14:textId="77777777" w:rsidR="00EC560B" w:rsidRDefault="00EC56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2"/>
        <w:gridCol w:w="1390"/>
        <w:gridCol w:w="1328"/>
        <w:gridCol w:w="1660"/>
      </w:tblGrid>
      <w:tr w:rsidR="00EC560B" w14:paraId="6949DE7F" w14:textId="77777777">
        <w:tc>
          <w:tcPr>
            <w:tcW w:w="1493" w:type="dxa"/>
          </w:tcPr>
          <w:p w14:paraId="4BF78926" w14:textId="77777777" w:rsidR="00EC560B" w:rsidRDefault="008770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端</w:t>
            </w:r>
            <w:r>
              <w:rPr>
                <w:lang w:eastAsia="zh-CN"/>
              </w:rPr>
              <w:t>straight</w:t>
            </w:r>
          </w:p>
        </w:tc>
        <w:tc>
          <w:tcPr>
            <w:tcW w:w="1493" w:type="dxa"/>
          </w:tcPr>
          <w:p w14:paraId="725553A3" w14:textId="77777777" w:rsidR="00EC560B" w:rsidRDefault="00877019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團</w:t>
            </w:r>
            <w:r>
              <w:rPr>
                <w:rFonts w:eastAsia="宋体" w:cs="宋体"/>
                <w:lang w:eastAsia="zh-CN"/>
              </w:rPr>
              <w:t>round</w:t>
            </w:r>
          </w:p>
        </w:tc>
        <w:tc>
          <w:tcPr>
            <w:tcW w:w="1492" w:type="dxa"/>
          </w:tcPr>
          <w:p w14:paraId="4E769671" w14:textId="77777777" w:rsidR="00EC560B" w:rsidRDefault="00877019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湯</w:t>
            </w:r>
            <w:r>
              <w:rPr>
                <w:rFonts w:eastAsia="宋体" w:cs="宋体"/>
                <w:lang w:eastAsia="zh-CN"/>
              </w:rPr>
              <w:t>soup</w:t>
            </w:r>
          </w:p>
        </w:tc>
        <w:tc>
          <w:tcPr>
            <w:tcW w:w="1390" w:type="dxa"/>
          </w:tcPr>
          <w:p w14:paraId="36763B34" w14:textId="77777777" w:rsidR="00EC560B" w:rsidRDefault="008770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溏</w:t>
            </w:r>
            <w:r>
              <w:rPr>
                <w:lang w:eastAsia="zh-CN"/>
              </w:rPr>
              <w:t>pond</w:t>
            </w:r>
          </w:p>
        </w:tc>
        <w:tc>
          <w:tcPr>
            <w:tcW w:w="1328" w:type="dxa"/>
          </w:tcPr>
          <w:p w14:paraId="70C9FEAC" w14:textId="77777777" w:rsidR="00EC560B" w:rsidRDefault="00877019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歸</w:t>
            </w:r>
            <w:r>
              <w:rPr>
                <w:rFonts w:eastAsia="宋体" w:cs="宋体"/>
                <w:lang w:eastAsia="zh-CN"/>
              </w:rPr>
              <w:t>return</w:t>
            </w:r>
          </w:p>
        </w:tc>
        <w:tc>
          <w:tcPr>
            <w:tcW w:w="1660" w:type="dxa"/>
          </w:tcPr>
          <w:p w14:paraId="103C02F3" w14:textId="77777777" w:rsidR="00EC560B" w:rsidRDefault="00877019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葵</w:t>
            </w:r>
            <w:r>
              <w:rPr>
                <w:rFonts w:eastAsia="宋体" w:cs="宋体"/>
                <w:lang w:eastAsia="zh-CN"/>
              </w:rPr>
              <w:t>sunflower</w:t>
            </w:r>
          </w:p>
        </w:tc>
      </w:tr>
      <w:tr w:rsidR="00EC560B" w14:paraId="73963A50" w14:textId="77777777">
        <w:trPr>
          <w:trHeight w:val="369"/>
        </w:trPr>
        <w:tc>
          <w:tcPr>
            <w:tcW w:w="1493" w:type="dxa"/>
          </w:tcPr>
          <w:p w14:paraId="51E98D25" w14:textId="77777777" w:rsidR="00EC560B" w:rsidRDefault="0087701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lang w:eastAsia="zh-CN"/>
              </w:rPr>
              <w:t>tu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ɑ</w:t>
            </w:r>
            <w:r>
              <w:rPr>
                <w:rFonts w:cs="Times New Roman"/>
                <w:lang w:eastAsia="zh-CN"/>
              </w:rPr>
              <w:t>n</w:t>
            </w:r>
            <w:proofErr w:type="spellEnd"/>
          </w:p>
        </w:tc>
        <w:tc>
          <w:tcPr>
            <w:tcW w:w="1493" w:type="dxa"/>
          </w:tcPr>
          <w:p w14:paraId="07D8AA93" w14:textId="77777777" w:rsidR="00EC560B" w:rsidRDefault="0087701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lang w:eastAsia="zh-CN"/>
              </w:rPr>
              <w:t>du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ɑ</w:t>
            </w:r>
            <w:r>
              <w:rPr>
                <w:rFonts w:cs="Times New Roman"/>
                <w:lang w:eastAsia="zh-CN"/>
              </w:rPr>
              <w:t>n</w:t>
            </w:r>
            <w:proofErr w:type="spellEnd"/>
          </w:p>
        </w:tc>
        <w:tc>
          <w:tcPr>
            <w:tcW w:w="1492" w:type="dxa"/>
          </w:tcPr>
          <w:p w14:paraId="1E146C9F" w14:textId="77777777" w:rsidR="00EC560B" w:rsidRDefault="0087701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lang w:eastAsia="zh-CN"/>
              </w:rPr>
              <w:t>t</w:t>
            </w:r>
            <w:r>
              <w:rPr>
                <w:rFonts w:cs="Times New Roman"/>
                <w:vertAlign w:val="superscript"/>
                <w:lang w:eastAsia="zh-CN"/>
              </w:rPr>
              <w:t>h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ɑŋ</w:t>
            </w:r>
            <w:proofErr w:type="spellEnd"/>
          </w:p>
        </w:tc>
        <w:tc>
          <w:tcPr>
            <w:tcW w:w="1390" w:type="dxa"/>
          </w:tcPr>
          <w:p w14:paraId="1097D17A" w14:textId="77777777" w:rsidR="00EC560B" w:rsidRDefault="0087701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lang w:eastAsia="zh-CN"/>
              </w:rPr>
              <w:t>d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ɑŋ</w:t>
            </w:r>
            <w:proofErr w:type="spellEnd"/>
          </w:p>
        </w:tc>
        <w:tc>
          <w:tcPr>
            <w:tcW w:w="1328" w:type="dxa"/>
          </w:tcPr>
          <w:p w14:paraId="2B4BF443" w14:textId="77777777" w:rsidR="00EC560B" w:rsidRDefault="00877019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  <w:szCs w:val="27"/>
              </w:rPr>
              <w:t>kwe̯i</w:t>
            </w:r>
            <w:proofErr w:type="spellEnd"/>
          </w:p>
        </w:tc>
        <w:tc>
          <w:tcPr>
            <w:tcW w:w="1660" w:type="dxa"/>
          </w:tcPr>
          <w:p w14:paraId="1BE677FF" w14:textId="77777777" w:rsidR="00EC560B" w:rsidRDefault="00877019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  <w:szCs w:val="27"/>
              </w:rPr>
              <w:t>gwi</w:t>
            </w:r>
            <w:proofErr w:type="spellEnd"/>
          </w:p>
        </w:tc>
      </w:tr>
    </w:tbl>
    <w:p w14:paraId="6548169B" w14:textId="77777777" w:rsidR="00EC560B" w:rsidRDefault="00EC560B">
      <w:pPr>
        <w:rPr>
          <w:lang w:eastAsia="zh-CN"/>
        </w:rPr>
      </w:pPr>
    </w:p>
    <w:p w14:paraId="199828C7" w14:textId="77777777" w:rsidR="00EC560B" w:rsidRDefault="0087701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How is each pair of initials </w:t>
      </w:r>
      <w:r>
        <w:rPr>
          <w:lang w:eastAsia="zh-CN"/>
        </w:rPr>
        <w:t>different in terms of their phonetic features?</w:t>
      </w:r>
    </w:p>
    <w:p w14:paraId="7D61266B" w14:textId="77777777" w:rsidR="00EC560B" w:rsidRDefault="00EC560B">
      <w:pPr>
        <w:pStyle w:val="ListParagraph"/>
        <w:rPr>
          <w:lang w:eastAsia="zh-CN"/>
        </w:rPr>
      </w:pPr>
    </w:p>
    <w:p w14:paraId="130BC5B1" w14:textId="77777777" w:rsidR="00EC560B" w:rsidRDefault="00877019">
      <w:pPr>
        <w:pStyle w:val="ListParagraph"/>
        <w:rPr>
          <w:lang w:eastAsia="zh-CN"/>
        </w:rPr>
      </w:pPr>
      <w:r>
        <w:rPr>
          <w:lang w:eastAsia="zh-CN"/>
        </w:rPr>
        <w:t>The first one in each pair has a voiceless initial; the second one has a voiced initial.</w:t>
      </w:r>
    </w:p>
    <w:p w14:paraId="45ABE3A7" w14:textId="77777777" w:rsidR="00EC560B" w:rsidRDefault="00EC560B">
      <w:pPr>
        <w:pStyle w:val="ListParagraph"/>
        <w:rPr>
          <w:lang w:eastAsia="zh-CN"/>
        </w:rPr>
      </w:pPr>
    </w:p>
    <w:p w14:paraId="6E495B07" w14:textId="77777777" w:rsidR="00EC560B" w:rsidRDefault="0087701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Can you predict their tonal categories in Modern Standard Chinese?</w:t>
      </w:r>
    </w:p>
    <w:p w14:paraId="0F3601D3" w14:textId="77777777" w:rsidR="00EC560B" w:rsidRDefault="00EC560B">
      <w:pPr>
        <w:pStyle w:val="ListParagraph"/>
        <w:rPr>
          <w:lang w:eastAsia="zh-CN"/>
        </w:rPr>
      </w:pPr>
    </w:p>
    <w:p w14:paraId="25F0ACE2" w14:textId="77777777" w:rsidR="00EC560B" w:rsidRDefault="00877019">
      <w:pPr>
        <w:pStyle w:val="ListParagraph"/>
        <w:rPr>
          <w:lang w:eastAsia="zh-CN"/>
        </w:rPr>
      </w:pPr>
      <w:r>
        <w:rPr>
          <w:lang w:eastAsia="zh-CN"/>
        </w:rPr>
        <w:t xml:space="preserve">The first one would belong to the </w:t>
      </w:r>
      <w:proofErr w:type="spellStart"/>
      <w:r>
        <w:rPr>
          <w:lang w:eastAsia="zh-CN"/>
        </w:rPr>
        <w:t>yīnpíng</w:t>
      </w:r>
      <w:proofErr w:type="spellEnd"/>
      <w:r>
        <w:rPr>
          <w:lang w:eastAsia="zh-CN"/>
        </w:rPr>
        <w:t xml:space="preserve"> category</w:t>
      </w:r>
      <w:r>
        <w:rPr>
          <w:lang w:eastAsia="zh-CN"/>
        </w:rPr>
        <w:t xml:space="preserve"> and the second one would belong to the </w:t>
      </w:r>
      <w:proofErr w:type="spellStart"/>
      <w:r>
        <w:rPr>
          <w:lang w:eastAsia="zh-CN"/>
        </w:rPr>
        <w:t>yángpíng</w:t>
      </w:r>
      <w:proofErr w:type="spellEnd"/>
      <w:r>
        <w:rPr>
          <w:lang w:eastAsia="zh-CN"/>
        </w:rPr>
        <w:t xml:space="preserve"> category in each pair.</w:t>
      </w:r>
    </w:p>
    <w:p w14:paraId="1D251A8B" w14:textId="77777777" w:rsidR="00EC560B" w:rsidRDefault="00EC560B">
      <w:pPr>
        <w:pStyle w:val="ListParagraph"/>
        <w:rPr>
          <w:lang w:eastAsia="zh-CN"/>
        </w:rPr>
      </w:pPr>
    </w:p>
    <w:p w14:paraId="33780211" w14:textId="77777777" w:rsidR="00EC560B" w:rsidRDefault="0087701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What is your justification?</w:t>
      </w:r>
    </w:p>
    <w:p w14:paraId="1DF4092A" w14:textId="77777777" w:rsidR="00EC560B" w:rsidRDefault="00EC560B">
      <w:pPr>
        <w:pStyle w:val="ListParagraph"/>
        <w:rPr>
          <w:lang w:eastAsia="zh-CN"/>
        </w:rPr>
      </w:pPr>
    </w:p>
    <w:p w14:paraId="36105292" w14:textId="77777777" w:rsidR="00EC560B" w:rsidRDefault="00877019">
      <w:pPr>
        <w:pStyle w:val="ListParagraph"/>
        <w:rPr>
          <w:lang w:eastAsia="zh-CN"/>
        </w:rPr>
      </w:pPr>
      <w:r>
        <w:rPr>
          <w:lang w:eastAsia="zh-CN"/>
        </w:rPr>
        <w:t xml:space="preserve">According to the tonal development phenomenon, those with a voiced initial in Middle Chinese developed into the </w:t>
      </w:r>
      <w:proofErr w:type="spellStart"/>
      <w:r>
        <w:rPr>
          <w:lang w:eastAsia="zh-CN"/>
        </w:rPr>
        <w:t>yángpíng</w:t>
      </w:r>
      <w:proofErr w:type="spellEnd"/>
      <w:r>
        <w:rPr>
          <w:lang w:eastAsia="zh-CN"/>
        </w:rPr>
        <w:t xml:space="preserve"> in Modern Standard Chinese if it </w:t>
      </w:r>
      <w:r>
        <w:rPr>
          <w:lang w:eastAsia="zh-CN"/>
        </w:rPr>
        <w:t xml:space="preserve">had a ping tone in Middle Chinese, and the ones with voiceless initials became </w:t>
      </w:r>
      <w:proofErr w:type="spellStart"/>
      <w:r>
        <w:rPr>
          <w:lang w:eastAsia="zh-CN"/>
        </w:rPr>
        <w:t>yīnpíng</w:t>
      </w:r>
      <w:proofErr w:type="spellEnd"/>
      <w:r>
        <w:rPr>
          <w:lang w:eastAsia="zh-CN"/>
        </w:rPr>
        <w:t>.</w:t>
      </w:r>
    </w:p>
    <w:p w14:paraId="2B3C7B5D" w14:textId="77777777" w:rsidR="00EC560B" w:rsidRDefault="00EC560B">
      <w:pPr>
        <w:pStyle w:val="ListParagraph"/>
        <w:rPr>
          <w:lang w:eastAsia="zh-CN"/>
        </w:rPr>
      </w:pPr>
    </w:p>
    <w:p w14:paraId="4A556DD6" w14:textId="77777777" w:rsidR="00EC560B" w:rsidRDefault="0087701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The rimes of these characters have not changed much from Middle Chinese to Modern Standard Chinese. Can you figure out their current pronunciations? Please indicate th</w:t>
      </w:r>
      <w:r>
        <w:rPr>
          <w:lang w:eastAsia="zh-CN"/>
        </w:rPr>
        <w:t>em by pinyin.</w:t>
      </w:r>
    </w:p>
    <w:p w14:paraId="4A63766B" w14:textId="77777777" w:rsidR="00EC560B" w:rsidRDefault="00EC560B">
      <w:pPr>
        <w:pStyle w:val="ListParagraph"/>
        <w:rPr>
          <w:lang w:eastAsia="zh-CN"/>
        </w:rPr>
      </w:pPr>
    </w:p>
    <w:p w14:paraId="64C2D23E" w14:textId="77777777" w:rsidR="00EC560B" w:rsidRDefault="00877019">
      <w:pPr>
        <w:pStyle w:val="ListParagraph"/>
        <w:rPr>
          <w:lang w:eastAsia="zh-CN"/>
        </w:rPr>
      </w:pPr>
      <w:proofErr w:type="spellStart"/>
      <w:proofErr w:type="gramStart"/>
      <w:r>
        <w:rPr>
          <w:lang w:eastAsia="zh-CN"/>
        </w:rPr>
        <w:t>duān</w:t>
      </w:r>
      <w:proofErr w:type="spellEnd"/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tuán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tāng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táng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guī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kuí</w:t>
      </w:r>
      <w:proofErr w:type="spellEnd"/>
    </w:p>
    <w:p w14:paraId="21087987" w14:textId="77777777" w:rsidR="00EC560B" w:rsidRDefault="00EC560B">
      <w:pPr>
        <w:pStyle w:val="ListParagraph"/>
        <w:rPr>
          <w:lang w:eastAsia="zh-CN"/>
        </w:rPr>
      </w:pPr>
    </w:p>
    <w:p w14:paraId="5D2B0430" w14:textId="77777777" w:rsidR="00EC560B" w:rsidRDefault="00877019">
      <w:pPr>
        <w:pStyle w:val="ListParagraph"/>
        <w:rPr>
          <w:lang w:eastAsia="zh-CN"/>
        </w:rPr>
      </w:pPr>
      <w:r>
        <w:rPr>
          <w:lang w:eastAsia="zh-CN"/>
        </w:rPr>
        <w:t>Note here the pinyin letters d and g are unaspirated voiceless consonants, i.e. [t] and [k] in IPA. They are not voiced consonants.</w:t>
      </w:r>
    </w:p>
    <w:p w14:paraId="564C7E9A" w14:textId="77777777" w:rsidR="00EC560B" w:rsidRDefault="00EC560B">
      <w:pPr>
        <w:rPr>
          <w:lang w:eastAsia="zh-CN"/>
        </w:rPr>
      </w:pPr>
    </w:p>
    <w:p w14:paraId="4FA1B9A1" w14:textId="77777777" w:rsidR="00EC560B" w:rsidRDefault="00EC560B">
      <w:pPr>
        <w:pStyle w:val="ListParagraph"/>
        <w:rPr>
          <w:lang w:eastAsia="zh-CN"/>
        </w:rPr>
      </w:pPr>
    </w:p>
    <w:p w14:paraId="0A5B2D9C" w14:textId="77777777" w:rsidR="00EC560B" w:rsidRDefault="0087701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What is your justification?</w:t>
      </w:r>
    </w:p>
    <w:p w14:paraId="66F15E29" w14:textId="77777777" w:rsidR="00EC560B" w:rsidRDefault="00EC560B">
      <w:pPr>
        <w:pStyle w:val="ListParagraph"/>
        <w:rPr>
          <w:lang w:eastAsia="zh-CN"/>
        </w:rPr>
      </w:pPr>
    </w:p>
    <w:p w14:paraId="54B63657" w14:textId="77777777" w:rsidR="00EC560B" w:rsidRDefault="00877019">
      <w:pPr>
        <w:pStyle w:val="ListParagraph"/>
        <w:rPr>
          <w:lang w:eastAsia="zh-CN"/>
        </w:rPr>
      </w:pPr>
      <w:r>
        <w:rPr>
          <w:lang w:eastAsia="zh-CN"/>
        </w:rPr>
        <w:t xml:space="preserve">Alongside the tonal splits as mentioned above, the voiced initials in Middle Chinese also became aspirated voiceless consonants in the </w:t>
      </w:r>
      <w:proofErr w:type="spellStart"/>
      <w:r>
        <w:rPr>
          <w:lang w:eastAsia="zh-CN"/>
        </w:rPr>
        <w:t>píng</w:t>
      </w:r>
      <w:proofErr w:type="spellEnd"/>
      <w:r>
        <w:rPr>
          <w:lang w:eastAsia="zh-CN"/>
        </w:rPr>
        <w:t xml:space="preserve"> tone category.</w:t>
      </w:r>
    </w:p>
    <w:p w14:paraId="6D4F9393" w14:textId="77777777" w:rsidR="00EC560B" w:rsidRDefault="00EC560B">
      <w:pPr>
        <w:pStyle w:val="ListParagraph"/>
        <w:rPr>
          <w:lang w:eastAsia="zh-CN"/>
        </w:rPr>
      </w:pPr>
    </w:p>
    <w:p w14:paraId="20DD64CB" w14:textId="77777777" w:rsidR="00EC560B" w:rsidRDefault="0087701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lastRenderedPageBreak/>
        <w:t>What is the rule of thumb for the change from voiced stops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</w:t>
      </w:r>
      <w:bookmarkStart w:id="0" w:name="_GoBack"/>
      <w:bookmarkEnd w:id="0"/>
      <w:r>
        <w:rPr>
          <w:lang w:eastAsia="zh-CN"/>
        </w:rPr>
        <w:t xml:space="preserve"> Middle Chinese to Modern Mandarin Chinese</w:t>
      </w:r>
      <w:r>
        <w:rPr>
          <w:lang w:eastAsia="zh-CN"/>
        </w:rPr>
        <w:t>?</w:t>
      </w:r>
    </w:p>
    <w:p w14:paraId="687072EC" w14:textId="77777777" w:rsidR="00EC560B" w:rsidRDefault="00EC560B">
      <w:pPr>
        <w:pStyle w:val="ListParagraph"/>
        <w:rPr>
          <w:lang w:eastAsia="zh-CN"/>
        </w:rPr>
      </w:pPr>
    </w:p>
    <w:p w14:paraId="3CF5A3E6" w14:textId="77777777" w:rsidR="00EC560B" w:rsidRDefault="00877019">
      <w:pPr>
        <w:pStyle w:val="ListParagraph"/>
        <w:rPr>
          <w:lang w:eastAsia="zh-CN"/>
        </w:rPr>
      </w:pPr>
      <w:r>
        <w:rPr>
          <w:lang w:eastAsia="zh-CN"/>
        </w:rPr>
        <w:t xml:space="preserve">The voiced stops in Middle Chinese became aspirated voiceless in the </w:t>
      </w:r>
      <w:proofErr w:type="spellStart"/>
      <w:r>
        <w:rPr>
          <w:lang w:eastAsia="zh-CN"/>
        </w:rPr>
        <w:t>píng</w:t>
      </w:r>
      <w:proofErr w:type="spellEnd"/>
      <w:r>
        <w:rPr>
          <w:lang w:eastAsia="zh-CN"/>
        </w:rPr>
        <w:t xml:space="preserve"> tone category and unaspirated voiceless otherwise.</w:t>
      </w:r>
    </w:p>
    <w:p w14:paraId="369D7211" w14:textId="77777777" w:rsidR="00EC560B" w:rsidRDefault="00EC560B">
      <w:pPr>
        <w:pStyle w:val="ListParagraph"/>
        <w:rPr>
          <w:lang w:eastAsia="zh-CN"/>
        </w:rPr>
      </w:pPr>
    </w:p>
    <w:p w14:paraId="512DC2E7" w14:textId="77777777" w:rsidR="00EC560B" w:rsidRDefault="0087701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What is the rule of thumb for the split of tonal categories?</w:t>
      </w:r>
    </w:p>
    <w:p w14:paraId="639AF1C1" w14:textId="77777777" w:rsidR="00EC560B" w:rsidRDefault="00EC560B">
      <w:pPr>
        <w:pStyle w:val="ListParagraph"/>
        <w:rPr>
          <w:lang w:eastAsia="zh-CN"/>
        </w:rPr>
      </w:pPr>
    </w:p>
    <w:p w14:paraId="4A397126" w14:textId="77777777" w:rsidR="00EC560B" w:rsidRDefault="00877019">
      <w:pPr>
        <w:pStyle w:val="ListParagraph"/>
        <w:rPr>
          <w:lang w:eastAsia="zh-CN"/>
        </w:rPr>
      </w:pPr>
      <w:r>
        <w:rPr>
          <w:lang w:eastAsia="zh-CN"/>
        </w:rPr>
        <w:t xml:space="preserve">Voiced initials would trigger the development into the </w:t>
      </w:r>
      <w:proofErr w:type="spellStart"/>
      <w:r>
        <w:rPr>
          <w:lang w:eastAsia="zh-CN"/>
        </w:rPr>
        <w:t>yáng</w:t>
      </w:r>
      <w:proofErr w:type="spellEnd"/>
      <w:r>
        <w:rPr>
          <w:lang w:eastAsia="zh-CN"/>
        </w:rPr>
        <w:t xml:space="preserve"> tones</w:t>
      </w:r>
      <w:r>
        <w:rPr>
          <w:lang w:eastAsia="zh-CN"/>
        </w:rPr>
        <w:t xml:space="preserve"> in each of the four tonal categories of Middle Chinese, while the voiceless initials would trigger the development into the </w:t>
      </w:r>
      <w:proofErr w:type="spellStart"/>
      <w:r>
        <w:rPr>
          <w:lang w:eastAsia="zh-CN"/>
        </w:rPr>
        <w:t>yīn</w:t>
      </w:r>
      <w:proofErr w:type="spellEnd"/>
      <w:r>
        <w:rPr>
          <w:lang w:eastAsia="zh-CN"/>
        </w:rPr>
        <w:t xml:space="preserve"> tones.</w:t>
      </w:r>
    </w:p>
    <w:sectPr w:rsidR="00EC56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C4430" w14:textId="77777777" w:rsidR="00877019" w:rsidRDefault="00877019" w:rsidP="00877019">
      <w:r>
        <w:separator/>
      </w:r>
    </w:p>
  </w:endnote>
  <w:endnote w:type="continuationSeparator" w:id="0">
    <w:p w14:paraId="58ED5F60" w14:textId="77777777" w:rsidR="00877019" w:rsidRDefault="00877019" w:rsidP="0087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69832" w14:textId="77777777" w:rsidR="00877019" w:rsidRDefault="00877019" w:rsidP="00877019">
      <w:r>
        <w:separator/>
      </w:r>
    </w:p>
  </w:footnote>
  <w:footnote w:type="continuationSeparator" w:id="0">
    <w:p w14:paraId="1258BC15" w14:textId="77777777" w:rsidR="00877019" w:rsidRDefault="00877019" w:rsidP="00877019">
      <w:r>
        <w:continuationSeparator/>
      </w:r>
    </w:p>
  </w:footnote>
  <w:footnote w:id="1">
    <w:p w14:paraId="248631F7" w14:textId="77777777" w:rsidR="00877019" w:rsidRDefault="008770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The Middle Chinese pronunciations are based on Wang Li’s system from </w:t>
      </w:r>
      <w:proofErr w:type="spellStart"/>
      <w:r>
        <w:t>Guo</w:t>
      </w:r>
      <w:proofErr w:type="spellEnd"/>
      <w:r>
        <w:t xml:space="preserve"> (</w:t>
      </w:r>
      <w:r>
        <w:rPr>
          <w:rFonts w:hint="eastAsia"/>
        </w:rPr>
        <w:t xml:space="preserve">1986) </w:t>
      </w:r>
      <w:r>
        <w:rPr>
          <w:rFonts w:hint="eastAsia"/>
        </w:rPr>
        <w:t>［郭</w:t>
      </w:r>
      <w:r>
        <w:rPr>
          <w:rFonts w:ascii="宋体" w:eastAsia="宋体" w:hAnsi="宋体" w:cs="宋体" w:hint="eastAsia"/>
          <w:lang w:eastAsia="zh-CN"/>
        </w:rPr>
        <w:t>锡</w:t>
      </w:r>
      <w:r>
        <w:rPr>
          <w:rFonts w:hint="eastAsia"/>
        </w:rPr>
        <w:t>良</w:t>
      </w:r>
      <w:r>
        <w:rPr>
          <w:rFonts w:hint="eastAsia"/>
        </w:rPr>
        <w:t xml:space="preserve">1986 </w:t>
      </w:r>
      <w:r>
        <w:rPr>
          <w:rFonts w:hint="eastAsia"/>
        </w:rPr>
        <w:t>《</w:t>
      </w:r>
      <w:r>
        <w:rPr>
          <w:rFonts w:ascii="宋体" w:eastAsia="宋体" w:hAnsi="宋体" w:cs="宋体" w:hint="eastAsia"/>
          <w:lang w:eastAsia="zh-CN"/>
        </w:rPr>
        <w:t>汉</w:t>
      </w:r>
      <w:r>
        <w:rPr>
          <w:rFonts w:hint="eastAsia"/>
        </w:rPr>
        <w:t>字古音手册》，北京大学出版社］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F1BC8"/>
    <w:multiLevelType w:val="hybridMultilevel"/>
    <w:tmpl w:val="1D92D034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560B"/>
    <w:rsid w:val="00877019"/>
    <w:rsid w:val="00E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8E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77019"/>
  </w:style>
  <w:style w:type="character" w:customStyle="1" w:styleId="FootnoteTextChar">
    <w:name w:val="Footnote Text Char"/>
    <w:basedOn w:val="DefaultParagraphFont"/>
    <w:link w:val="FootnoteText"/>
    <w:uiPriority w:val="99"/>
    <w:rsid w:val="00877019"/>
  </w:style>
  <w:style w:type="character" w:styleId="FootnoteReference">
    <w:name w:val="footnote reference"/>
    <w:basedOn w:val="DefaultParagraphFont"/>
    <w:uiPriority w:val="99"/>
    <w:unhideWhenUsed/>
    <w:rsid w:val="0087701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976B2B-C439-A049-A89C-E6759F2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1596</Characters>
  <Application>Microsoft Macintosh Word</Application>
  <DocSecurity>0</DocSecurity>
  <Lines>13</Lines>
  <Paragraphs>3</Paragraphs>
  <ScaleCrop>false</ScaleCrop>
  <Company>Informa Plc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2013-03-21T03:37:00Z</cp:lastPrinted>
  <dcterms:created xsi:type="dcterms:W3CDTF">2014-01-27T13:54:00Z</dcterms:created>
  <dcterms:modified xsi:type="dcterms:W3CDTF">2014-03-09T01:50:00Z</dcterms:modified>
</cp:coreProperties>
</file>