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868C" w14:textId="77777777" w:rsidR="00804617" w:rsidRDefault="00FF0B69">
      <w:pPr>
        <w:spacing w:after="0"/>
        <w:rPr>
          <w:rFonts w:cstheme="minorHAnsi"/>
        </w:rPr>
      </w:pPr>
      <w:r>
        <w:rPr>
          <w:rFonts w:cstheme="minorHAnsi"/>
        </w:rPr>
        <w:t>Answer key to exercise on tonal split</w:t>
      </w:r>
    </w:p>
    <w:p w14:paraId="3E83755D" w14:textId="77777777" w:rsidR="00804617" w:rsidRDefault="00804617">
      <w:pPr>
        <w:spacing w:after="0"/>
        <w:rPr>
          <w:rFonts w:cstheme="minorHAnsi"/>
        </w:rPr>
      </w:pPr>
    </w:p>
    <w:p w14:paraId="543A35B8" w14:textId="77777777" w:rsidR="00804617" w:rsidRDefault="00FF0B69">
      <w:pPr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hAnsi="Times New Roman" w:cstheme="minorHAnsi"/>
        </w:rPr>
        <w:t>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tone </w:t>
      </w:r>
      <w:r>
        <w:rPr>
          <w:rFonts w:hAnsi="Times New Roman" w:cstheme="minorHAnsi" w:hint="eastAsia"/>
        </w:rPr>
        <w:t>平聲</w:t>
      </w:r>
      <w:r>
        <w:rPr>
          <w:rFonts w:cstheme="minorHAnsi"/>
        </w:rPr>
        <w:t xml:space="preserve"> category in Middle Chinese developed into </w:t>
      </w:r>
      <w:proofErr w:type="spellStart"/>
      <w:r>
        <w:rPr>
          <w:rFonts w:cstheme="minorHAnsi"/>
        </w:rPr>
        <w:t>yīnpíng</w:t>
      </w:r>
      <w:proofErr w:type="spellEnd"/>
      <w:r>
        <w:rPr>
          <w:rFonts w:hAnsi="Times New Roman" w:cstheme="minorHAnsi" w:hint="eastAsia"/>
        </w:rPr>
        <w:t>陰平</w:t>
      </w:r>
      <w:r>
        <w:rPr>
          <w:rFonts w:hAnsi="Times New Roman" w:cstheme="minorHAnsi" w:hint="eastAsia"/>
        </w:rPr>
        <w:t>(1</w:t>
      </w:r>
      <w:r>
        <w:rPr>
          <w:rFonts w:hAnsi="Times New Roman" w:cstheme="minorHAnsi" w:hint="eastAsia"/>
          <w:vertAlign w:val="superscript"/>
        </w:rPr>
        <w:t>st</w:t>
      </w:r>
      <w:r>
        <w:rPr>
          <w:rFonts w:hAnsi="Times New Roman" w:cstheme="minorHAnsi" w:hint="eastAsia"/>
        </w:rPr>
        <w:t xml:space="preserve"> tone)</w:t>
      </w:r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yángpíng</w:t>
      </w:r>
      <w:proofErr w:type="spellEnd"/>
      <w:r>
        <w:rPr>
          <w:rFonts w:cstheme="minorHAnsi"/>
        </w:rPr>
        <w:t xml:space="preserve"> </w:t>
      </w:r>
      <w:r>
        <w:rPr>
          <w:rFonts w:hAnsi="Times New Roman" w:cstheme="minorHAnsi" w:hint="eastAsia"/>
        </w:rPr>
        <w:t>陽平</w:t>
      </w:r>
      <w:r>
        <w:rPr>
          <w:rFonts w:hAnsi="Times New Roman" w:cstheme="minorHAnsi" w:hint="eastAsia"/>
        </w:rPr>
        <w:t>(2</w:t>
      </w:r>
      <w:r>
        <w:rPr>
          <w:rFonts w:hAnsi="Times New Roman" w:cstheme="minorHAnsi" w:hint="eastAsia"/>
          <w:vertAlign w:val="superscript"/>
        </w:rPr>
        <w:t>nd</w:t>
      </w:r>
      <w:r>
        <w:rPr>
          <w:rFonts w:hAnsi="Times New Roman" w:cstheme="minorHAnsi" w:hint="eastAsia"/>
        </w:rPr>
        <w:t xml:space="preserve"> tone)</w:t>
      </w:r>
      <w:r>
        <w:rPr>
          <w:rFonts w:cstheme="minorHAnsi"/>
        </w:rPr>
        <w:t xml:space="preserve"> in Modern Standard Chinese. This phenomenon is called </w:t>
      </w:r>
      <w:proofErr w:type="spellStart"/>
      <w:r>
        <w:rPr>
          <w:rFonts w:cstheme="minorHAnsi"/>
          <w:i/>
        </w:rPr>
        <w:t>píng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fēn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yīn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yáng</w:t>
      </w:r>
      <w:proofErr w:type="spellEnd"/>
      <w:r>
        <w:rPr>
          <w:rFonts w:hAnsi="Times New Roman" w:cstheme="minorHAnsi" w:hint="eastAsia"/>
        </w:rPr>
        <w:t>平分陰陽</w:t>
      </w:r>
      <w:r>
        <w:rPr>
          <w:rFonts w:cstheme="minorHAnsi" w:hint="eastAsia"/>
        </w:rPr>
        <w:t xml:space="preserve">. Please answer the following two </w:t>
      </w:r>
      <w:r>
        <w:rPr>
          <w:rFonts w:cstheme="minorHAnsi" w:hint="eastAsia"/>
        </w:rPr>
        <w:t>questions.</w:t>
      </w:r>
    </w:p>
    <w:p w14:paraId="582BB1E1" w14:textId="77777777" w:rsidR="00804617" w:rsidRDefault="00FF0B69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What is the phonological condition that triggered this split of one category into two? </w:t>
      </w:r>
      <w:r>
        <w:rPr>
          <w:rFonts w:cstheme="minorHAnsi" w:hint="eastAsia"/>
        </w:rPr>
        <w:t xml:space="preserve"> </w:t>
      </w:r>
    </w:p>
    <w:p w14:paraId="1F53DD02" w14:textId="77777777" w:rsidR="00804617" w:rsidRDefault="00804617">
      <w:pPr>
        <w:pStyle w:val="ListParagraph"/>
        <w:ind w:left="1080"/>
        <w:rPr>
          <w:rFonts w:cstheme="minorHAnsi"/>
        </w:rPr>
      </w:pPr>
    </w:p>
    <w:p w14:paraId="6F524827" w14:textId="77777777" w:rsidR="00804617" w:rsidRDefault="00FF0B6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Some characters in the </w:t>
      </w:r>
      <w:proofErr w:type="spellStart"/>
      <w:r>
        <w:rPr>
          <w:rFonts w:hAnsi="Times New Roman" w:cstheme="minorHAnsi"/>
        </w:rPr>
        <w:t>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tone category in </w:t>
      </w:r>
      <w:proofErr w:type="spellStart"/>
      <w:r>
        <w:rPr>
          <w:rFonts w:cstheme="minorHAnsi"/>
        </w:rPr>
        <w:t>Qieyun</w:t>
      </w:r>
      <w:proofErr w:type="spellEnd"/>
      <w:r>
        <w:rPr>
          <w:rFonts w:cstheme="minorHAnsi"/>
        </w:rPr>
        <w:t xml:space="preserve"> were pronounced with a voiceless initial, e.g. [t, </w:t>
      </w:r>
      <w:proofErr w:type="spellStart"/>
      <w:r>
        <w:rPr>
          <w:rFonts w:cstheme="minorHAnsi"/>
        </w:rPr>
        <w:t>t</w:t>
      </w:r>
      <w:r>
        <w:rPr>
          <w:rFonts w:cstheme="minorHAnsi"/>
          <w:vertAlign w:val="superscript"/>
        </w:rPr>
        <w:t>h</w:t>
      </w:r>
      <w:proofErr w:type="spellEnd"/>
      <w:r>
        <w:rPr>
          <w:rFonts w:cstheme="minorHAnsi"/>
        </w:rPr>
        <w:t>], while others were pronounced with a voiced init</w:t>
      </w:r>
      <w:r>
        <w:rPr>
          <w:rFonts w:cstheme="minorHAnsi"/>
        </w:rPr>
        <w:t xml:space="preserve">ial, e.g. [d]. </w:t>
      </w:r>
    </w:p>
    <w:p w14:paraId="42A6E360" w14:textId="77777777" w:rsidR="00804617" w:rsidRDefault="00FF0B6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After the </w:t>
      </w:r>
      <w:proofErr w:type="spellStart"/>
      <w:r>
        <w:rPr>
          <w:rFonts w:cstheme="minorHAnsi"/>
        </w:rPr>
        <w:t>Qieyun</w:t>
      </w:r>
      <w:proofErr w:type="spellEnd"/>
      <w:r>
        <w:rPr>
          <w:rFonts w:cstheme="minorHAnsi"/>
        </w:rPr>
        <w:t xml:space="preserve">, those with the voiceless initials gradually became the </w:t>
      </w:r>
      <w:proofErr w:type="spellStart"/>
      <w:r>
        <w:rPr>
          <w:rFonts w:cstheme="minorHAnsi"/>
        </w:rPr>
        <w:t>yīnpíng</w:t>
      </w:r>
      <w:proofErr w:type="spellEnd"/>
      <w:r>
        <w:rPr>
          <w:rFonts w:cstheme="minorHAnsi"/>
        </w:rPr>
        <w:t xml:space="preserve"> category, and those with the voiced initials gradually became </w:t>
      </w:r>
      <w:proofErr w:type="spellStart"/>
      <w:r>
        <w:rPr>
          <w:rFonts w:cstheme="minorHAnsi"/>
        </w:rPr>
        <w:t>yángpíng</w:t>
      </w:r>
      <w:proofErr w:type="spellEnd"/>
      <w:r>
        <w:rPr>
          <w:rFonts w:cstheme="minorHAnsi"/>
        </w:rPr>
        <w:t>, alongside the disappearance of the contrast between voiced and voiceless initials.</w:t>
      </w:r>
    </w:p>
    <w:p w14:paraId="176DA03C" w14:textId="77777777" w:rsidR="00804617" w:rsidRDefault="00804617">
      <w:pPr>
        <w:pStyle w:val="ListParagraph"/>
        <w:ind w:left="1080"/>
        <w:rPr>
          <w:rFonts w:cstheme="minorHAnsi"/>
        </w:rPr>
      </w:pPr>
    </w:p>
    <w:p w14:paraId="63A8E6C6" w14:textId="77777777" w:rsidR="00804617" w:rsidRDefault="00804617">
      <w:pPr>
        <w:pStyle w:val="ListParagraph"/>
        <w:ind w:left="1080"/>
        <w:rPr>
          <w:rFonts w:cstheme="minorHAnsi"/>
        </w:rPr>
      </w:pPr>
    </w:p>
    <w:p w14:paraId="61AA36FC" w14:textId="77777777" w:rsidR="00804617" w:rsidRDefault="00FF0B69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Th</w:t>
      </w:r>
      <w:r>
        <w:rPr>
          <w:rFonts w:cstheme="minorHAnsi"/>
        </w:rPr>
        <w:t xml:space="preserve">e following words </w:t>
      </w:r>
      <w:r>
        <w:rPr>
          <w:rFonts w:cstheme="minorHAnsi" w:hint="eastAsia"/>
        </w:rPr>
        <w:t>belong to</w:t>
      </w:r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píng</w:t>
      </w:r>
      <w:proofErr w:type="spellEnd"/>
      <w:r>
        <w:rPr>
          <w:rFonts w:cstheme="minorHAnsi"/>
        </w:rPr>
        <w:t xml:space="preserve"> tone</w:t>
      </w:r>
      <w:r>
        <w:rPr>
          <w:rFonts w:hAnsi="Times New Roman" w:cstheme="minorHAnsi" w:hint="eastAsia"/>
        </w:rPr>
        <w:t xml:space="preserve"> in </w:t>
      </w:r>
      <w:r>
        <w:rPr>
          <w:rFonts w:cstheme="minorHAnsi"/>
        </w:rPr>
        <w:t>Middle Chinese. The Middle Chinese pronunciations are given in IPA</w:t>
      </w:r>
      <w:r>
        <w:rPr>
          <w:rStyle w:val="FootnoteReference"/>
          <w:rFonts w:cstheme="minorHAnsi"/>
        </w:rPr>
        <w:footnoteReference w:id="1"/>
      </w:r>
      <w:r>
        <w:rPr>
          <w:rFonts w:cstheme="minorHAnsi"/>
        </w:rPr>
        <w:t xml:space="preserve">, not pinyin. According to the rule of </w:t>
      </w:r>
      <w:proofErr w:type="spellStart"/>
      <w:r>
        <w:rPr>
          <w:rFonts w:cstheme="minorHAnsi"/>
          <w:i/>
        </w:rPr>
        <w:t>píng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fēn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yīn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yáng</w:t>
      </w:r>
      <w:proofErr w:type="spellEnd"/>
      <w:r>
        <w:rPr>
          <w:rFonts w:hAnsi="Times New Roman" w:cstheme="minorHAnsi" w:hint="eastAsia"/>
        </w:rPr>
        <w:t>平分陰陽</w:t>
      </w:r>
      <w:r>
        <w:rPr>
          <w:rFonts w:cstheme="minorHAnsi"/>
        </w:rPr>
        <w:t xml:space="preserve">, can you indicate whether it is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á</w:t>
      </w:r>
      <w:r>
        <w:rPr>
          <w:rFonts w:hAnsi="Times New Roman" w:cstheme="minorHAnsi"/>
        </w:rPr>
        <w:t>ngp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hAnsi="Times New Roman" w:cstheme="minorHAnsi"/>
        </w:rPr>
        <w:t xml:space="preserve"> </w:t>
      </w:r>
      <w:r>
        <w:rPr>
          <w:rFonts w:cstheme="minorHAnsi"/>
        </w:rPr>
        <w:t>in Modern Standard Chinese for e</w:t>
      </w:r>
      <w:r>
        <w:rPr>
          <w:rFonts w:cstheme="minorHAnsi"/>
        </w:rPr>
        <w:t xml:space="preserve">ach word? </w:t>
      </w:r>
    </w:p>
    <w:p w14:paraId="5A0C4174" w14:textId="77777777" w:rsidR="00804617" w:rsidRDefault="00804617">
      <w:pPr>
        <w:pStyle w:val="ListParagraph"/>
        <w:ind w:left="1080"/>
        <w:rPr>
          <w:rFonts w:cstheme="minorHAnsi"/>
        </w:rPr>
      </w:pPr>
    </w:p>
    <w:p w14:paraId="2337EC2A" w14:textId="77777777" w:rsidR="00804617" w:rsidRDefault="00FF0B69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You can just write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ī</w:t>
      </w:r>
      <w:r>
        <w:rPr>
          <w:rFonts w:hAnsi="Times New Roman" w:cstheme="minorHAnsi"/>
        </w:rPr>
        <w:t>np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hAnsi="Times New Roman" w:cstheme="minorHAnsi"/>
        </w:rPr>
        <w:t>y</w:t>
      </w:r>
      <w:r>
        <w:rPr>
          <w:rFonts w:hAnsi="Times New Roman" w:cstheme="minorHAnsi"/>
        </w:rPr>
        <w:t>á</w:t>
      </w:r>
      <w:r>
        <w:rPr>
          <w:rFonts w:hAnsi="Times New Roman" w:cstheme="minorHAnsi"/>
        </w:rPr>
        <w:t>ngp</w:t>
      </w:r>
      <w:r>
        <w:rPr>
          <w:rFonts w:hAnsi="Times New Roman" w:cstheme="minorHAnsi"/>
        </w:rPr>
        <w:t>í</w:t>
      </w:r>
      <w:r>
        <w:rPr>
          <w:rFonts w:hAnsi="Times New Roman" w:cstheme="minorHAnsi"/>
        </w:rPr>
        <w:t>ng</w:t>
      </w:r>
      <w:proofErr w:type="spellEnd"/>
      <w:r>
        <w:rPr>
          <w:rFonts w:cstheme="minorHAnsi"/>
        </w:rPr>
        <w:t xml:space="preserve"> in the box under each word. </w:t>
      </w:r>
    </w:p>
    <w:p w14:paraId="336BC5C0" w14:textId="77777777" w:rsidR="00804617" w:rsidRDefault="00804617">
      <w:pPr>
        <w:pStyle w:val="ListParagraph"/>
        <w:rPr>
          <w:rFonts w:cstheme="minorHAnsi"/>
        </w:rPr>
      </w:pPr>
    </w:p>
    <w:tbl>
      <w:tblPr>
        <w:tblStyle w:val="TableGrid"/>
        <w:tblW w:w="9912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155"/>
        <w:gridCol w:w="1627"/>
        <w:gridCol w:w="2200"/>
        <w:gridCol w:w="1614"/>
        <w:gridCol w:w="1363"/>
        <w:gridCol w:w="1953"/>
      </w:tblGrid>
      <w:tr w:rsidR="00804617" w14:paraId="432F7629" w14:textId="77777777">
        <w:trPr>
          <w:trHeight w:val="235"/>
        </w:trPr>
        <w:tc>
          <w:tcPr>
            <w:tcW w:w="1155" w:type="dxa"/>
          </w:tcPr>
          <w:p w14:paraId="488E1CF5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葩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p</w:t>
            </w:r>
            <w:r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h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(flower)</w:t>
            </w:r>
          </w:p>
        </w:tc>
        <w:tc>
          <w:tcPr>
            <w:tcW w:w="1627" w:type="dxa"/>
          </w:tcPr>
          <w:p w14:paraId="0EF9C46A" w14:textId="77777777" w:rsidR="00804617" w:rsidRDefault="00FF0B69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hAnsi="Times New Roman" w:cstheme="minorHAnsi"/>
                <w:sz w:val="24"/>
                <w:szCs w:val="24"/>
              </w:rPr>
              <w:t>檀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ɑn </w:t>
            </w:r>
            <w:r>
              <w:rPr>
                <w:rFonts w:cstheme="minorHAnsi"/>
              </w:rPr>
              <w:t>(sandalwood)</w:t>
            </w:r>
          </w:p>
        </w:tc>
        <w:tc>
          <w:tcPr>
            <w:tcW w:w="2200" w:type="dxa"/>
          </w:tcPr>
          <w:p w14:paraId="1EF0CF15" w14:textId="77777777" w:rsidR="00804617" w:rsidRDefault="00FF0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嵯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dz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ɑ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1745116D" w14:textId="77777777" w:rsidR="00804617" w:rsidRDefault="00FF0B69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>
              <w:rPr>
                <w:rFonts w:cstheme="minorHAnsi"/>
              </w:rPr>
              <w:t>([of mountains] high)</w:t>
            </w:r>
          </w:p>
        </w:tc>
        <w:tc>
          <w:tcPr>
            <w:tcW w:w="1614" w:type="dxa"/>
          </w:tcPr>
          <w:p w14:paraId="4FBA504C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箄</w:t>
            </w:r>
            <w:r>
              <w:rPr>
                <w:rFonts w:cstheme="minorHAnsi"/>
                <w:sz w:val="24"/>
                <w:szCs w:val="24"/>
              </w:rPr>
              <w:t xml:space="preserve">pie̯ </w:t>
            </w:r>
          </w:p>
          <w:p w14:paraId="39A75B50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(a fishing tool)</w:t>
            </w:r>
          </w:p>
        </w:tc>
        <w:tc>
          <w:tcPr>
            <w:tcW w:w="1363" w:type="dxa"/>
          </w:tcPr>
          <w:p w14:paraId="6466CE86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櫜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k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ɑu </w:t>
            </w:r>
          </w:p>
          <w:p w14:paraId="570DC8F0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(quiver)</w:t>
            </w:r>
          </w:p>
        </w:tc>
        <w:tc>
          <w:tcPr>
            <w:tcW w:w="1953" w:type="dxa"/>
          </w:tcPr>
          <w:p w14:paraId="46E28C5C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hAnsi="Times New Roman" w:cstheme="minorHAnsi"/>
                <w:sz w:val="24"/>
                <w:szCs w:val="24"/>
              </w:rPr>
              <w:t>夔</w:t>
            </w:r>
            <w:proofErr w:type="spellStart"/>
            <w:r>
              <w:rPr>
                <w:rFonts w:cstheme="minorHAnsi"/>
                <w:sz w:val="24"/>
                <w:szCs w:val="24"/>
              </w:rPr>
              <w:t>gwi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2F71D8" w14:textId="77777777" w:rsidR="00804617" w:rsidRDefault="00FF0B6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(mythical creature)</w:t>
            </w:r>
          </w:p>
        </w:tc>
      </w:tr>
      <w:tr w:rsidR="00804617" w14:paraId="267C820F" w14:textId="77777777">
        <w:trPr>
          <w:trHeight w:val="287"/>
        </w:trPr>
        <w:tc>
          <w:tcPr>
            <w:tcW w:w="1155" w:type="dxa"/>
          </w:tcPr>
          <w:p w14:paraId="0ED4E521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yīnpíng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pā</w:t>
            </w:r>
            <w:proofErr w:type="spellEnd"/>
          </w:p>
        </w:tc>
        <w:tc>
          <w:tcPr>
            <w:tcW w:w="1627" w:type="dxa"/>
          </w:tcPr>
          <w:p w14:paraId="1866DB7D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yángpíng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3CFEFC3D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tán</w:t>
            </w:r>
            <w:proofErr w:type="spellEnd"/>
          </w:p>
        </w:tc>
        <w:tc>
          <w:tcPr>
            <w:tcW w:w="2200" w:type="dxa"/>
          </w:tcPr>
          <w:p w14:paraId="1D1F81FC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yángpíng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5CCA6182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cuó</w:t>
            </w:r>
            <w:proofErr w:type="spellEnd"/>
          </w:p>
        </w:tc>
        <w:tc>
          <w:tcPr>
            <w:tcW w:w="1614" w:type="dxa"/>
          </w:tcPr>
          <w:p w14:paraId="5B0BA492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yīnpíng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68B567E7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bēi</w:t>
            </w:r>
            <w:proofErr w:type="spellEnd"/>
          </w:p>
        </w:tc>
        <w:tc>
          <w:tcPr>
            <w:tcW w:w="1363" w:type="dxa"/>
          </w:tcPr>
          <w:p w14:paraId="125FF438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yīnpíng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0628C005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gāo</w:t>
            </w:r>
            <w:proofErr w:type="spellEnd"/>
          </w:p>
        </w:tc>
        <w:tc>
          <w:tcPr>
            <w:tcW w:w="1953" w:type="dxa"/>
          </w:tcPr>
          <w:p w14:paraId="645B31B7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yángpíng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198F38A3" w14:textId="77777777" w:rsidR="00804617" w:rsidRDefault="00FF0B69">
            <w:pPr>
              <w:pStyle w:val="ListParagraph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kuí</w:t>
            </w:r>
            <w:proofErr w:type="spellEnd"/>
          </w:p>
        </w:tc>
      </w:tr>
    </w:tbl>
    <w:p w14:paraId="11963FCF" w14:textId="77777777" w:rsidR="00804617" w:rsidRDefault="00804617">
      <w:pPr>
        <w:pStyle w:val="ListParagraph"/>
        <w:rPr>
          <w:rFonts w:cstheme="minorHAnsi"/>
        </w:rPr>
      </w:pPr>
    </w:p>
    <w:p w14:paraId="4C1AB12E" w14:textId="77777777" w:rsidR="00804617" w:rsidRDefault="00804617">
      <w:pPr>
        <w:pStyle w:val="ListParagraph"/>
        <w:rPr>
          <w:rFonts w:cstheme="minorHAnsi"/>
        </w:rPr>
      </w:pPr>
    </w:p>
    <w:sectPr w:rsidR="0080461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C2250" w14:textId="77777777" w:rsidR="00804617" w:rsidRDefault="00FF0B69">
      <w:pPr>
        <w:spacing w:after="0" w:line="240" w:lineRule="auto"/>
      </w:pPr>
      <w:r>
        <w:separator/>
      </w:r>
    </w:p>
  </w:endnote>
  <w:endnote w:type="continuationSeparator" w:id="0">
    <w:p w14:paraId="003C3288" w14:textId="77777777" w:rsidR="00804617" w:rsidRDefault="00FF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72C76" w14:textId="77777777" w:rsidR="00804617" w:rsidRDefault="00804617">
    <w:pPr>
      <w:pStyle w:val="Footer"/>
      <w:jc w:val="center"/>
    </w:pPr>
  </w:p>
  <w:p w14:paraId="4FE19CD5" w14:textId="77777777" w:rsidR="00804617" w:rsidRDefault="008046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0867" w14:textId="77777777" w:rsidR="00804617" w:rsidRDefault="00FF0B69">
      <w:pPr>
        <w:spacing w:after="0" w:line="240" w:lineRule="auto"/>
      </w:pPr>
      <w:r>
        <w:separator/>
      </w:r>
    </w:p>
  </w:footnote>
  <w:footnote w:type="continuationSeparator" w:id="0">
    <w:p w14:paraId="3A76582C" w14:textId="77777777" w:rsidR="00804617" w:rsidRDefault="00FF0B69">
      <w:pPr>
        <w:spacing w:after="0" w:line="240" w:lineRule="auto"/>
      </w:pPr>
      <w:r>
        <w:continuationSeparator/>
      </w:r>
    </w:p>
  </w:footnote>
  <w:footnote w:id="1">
    <w:p w14:paraId="186E1C6E" w14:textId="77777777" w:rsidR="00FF0B69" w:rsidRDefault="00FF0B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Middle Chinese pronunciations are based on Wang Li’s system from </w:t>
      </w:r>
      <w:proofErr w:type="spellStart"/>
      <w:r>
        <w:t>Guo</w:t>
      </w:r>
      <w:proofErr w:type="spellEnd"/>
      <w:r>
        <w:t xml:space="preserve"> (</w:t>
      </w:r>
      <w:r>
        <w:rPr>
          <w:rFonts w:hint="eastAsia"/>
        </w:rPr>
        <w:t xml:space="preserve">1986) </w:t>
      </w:r>
      <w:r>
        <w:rPr>
          <w:rFonts w:hint="eastAsia"/>
        </w:rPr>
        <w:t>［郭锡良</w:t>
      </w:r>
      <w:r>
        <w:rPr>
          <w:rFonts w:hint="eastAsia"/>
        </w:rPr>
        <w:t xml:space="preserve">1986 </w:t>
      </w:r>
      <w:r>
        <w:rPr>
          <w:rFonts w:hint="eastAsia"/>
        </w:rPr>
        <w:t>《汉字古音手册》，北京大学出版社］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05pt;height:15.05pt" o:bullet="t">
        <v:imagedata r:id="rId1" o:title="Word Work File L_2"/>
      </v:shape>
    </w:pict>
  </w:numPicBullet>
  <w:abstractNum w:abstractNumId="0">
    <w:nsid w:val="08B11EB5"/>
    <w:multiLevelType w:val="hybridMultilevel"/>
    <w:tmpl w:val="5174437A"/>
    <w:lvl w:ilvl="0" w:tplc="30FC9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62952"/>
    <w:multiLevelType w:val="hybridMultilevel"/>
    <w:tmpl w:val="30687FCE"/>
    <w:lvl w:ilvl="0" w:tplc="B8B812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C69B7"/>
    <w:multiLevelType w:val="hybridMultilevel"/>
    <w:tmpl w:val="BDD2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B7DD7"/>
    <w:multiLevelType w:val="hybridMultilevel"/>
    <w:tmpl w:val="4D82F6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617"/>
    <w:rsid w:val="00804617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2CEB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voiced2">
    <w:name w:val="voiced2"/>
    <w:basedOn w:val="DefaultParagraphFont"/>
  </w:style>
  <w:style w:type="character" w:customStyle="1" w:styleId="voiceless2">
    <w:name w:val="voiceless2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voiced2">
    <w:name w:val="voiced2"/>
    <w:basedOn w:val="DefaultParagraphFont"/>
    <w:rsid w:val="003C3647"/>
  </w:style>
  <w:style w:type="character" w:customStyle="1" w:styleId="voiceless2">
    <w:name w:val="voiceless2"/>
    <w:basedOn w:val="DefaultParagraphFont"/>
    <w:rsid w:val="0040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96D1-CC15-CA49-B7BB-38A1849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2011-02-25T03:59:00Z</cp:lastPrinted>
  <dcterms:created xsi:type="dcterms:W3CDTF">2014-01-27T13:53:00Z</dcterms:created>
  <dcterms:modified xsi:type="dcterms:W3CDTF">2014-03-09T01:48:00Z</dcterms:modified>
</cp:coreProperties>
</file>